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jc w:val="center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Эссе на тему: “Виды регионов в зависимости от социально-экономического развития”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8"/>
          <w:szCs w:val="20"/>
          <w:rtl w:val="off"/>
          <w:lang w:val="ru-RU" w:eastAsia="ru-RU"/>
        </w:rPr>
      </w:pPr>
      <w:r>
        <w:rPr>
          <w:rFonts w:ascii="Times New Roman" w:cs="Times New Roman" w:hAnsi="Times New Roman"/>
          <w:sz w:val="28"/>
          <w:szCs w:val="20"/>
          <w:rtl w:val="off"/>
          <w:lang w:val="ru-RU" w:eastAsia="ru-RU"/>
        </w:rPr>
        <w:t>Экономическая задача типологизации регионов РФ определяется необходимостью разделения различных субъектов РФ на однородные группы при проведении межрегиональных сопоставлений, либо исследовании экономических процессов на региональном уровне.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 xml:space="preserve">Основным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направлением регионального развития является максимальное усиление собственной экономической базы каждого из субъектов федерации путем структурной перестройки их хозяйства, адекватной требованиям рыночной экономики и учитываю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щей весь комплекс на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учно-обоснованных экологических требований. 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ru-RU"/>
        </w:rPr>
      </w:pPr>
    </w:p>
    <w:p>
      <w:pPr>
        <w:spacing w:after="0" w:line="240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>Далее выделим классификации регионов по различным критериям.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П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о потенциалу развития гражданского общества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можно выделить: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Тип 1. Очень высокий уровень жизни. Высокий уровень развития экономики. Крайне убедительный потенциал гражданской активности. Высокий заявленный показатель институциональной общественной активности.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Тип 2. Высокий уровень жизни. Крайне привлекательный уровень развития экономики. Средний (или выше среднего) потенциал гражданской активности. Средний уровень институциональной и общественной активности, проявляемой среди населения.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Тип 3. Средний уровень жизни. Средний, порой недостаточный уровень развития экономики. Средний потенциал гражданской активности. Низкий, зафиксированный за время исследования, уровень институциональной общественной активности.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Тип 4. Средний уровень жизни. Средний уровень развития экономики. Средний потенциал гражданской активности. Высокий декларируемый уровень институциональной общественной активности.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Тип 5. Средний уровень жизни. Средний уровень развития экономики. Низкий потенциал гражданской активности. Очень низкий декларируемый уровень институциональной общественной активности.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Тип 6. Низкий уровень жизни. Средний уровень развития экономики. Низкий потенциал гражданской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активности. Высокий декларируемый уровень инс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титуциональной общественной активности.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>В зависимости от показателей экономического развития можно выделить следующие разновидности: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1. «Регионы – локомотивы роста».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«Опорные регионы»;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t xml:space="preserve">3.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«Депрессивные регионы»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t xml:space="preserve">4.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«Особые регионы (спецтерритории)».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Типология регионов для целей стратегического бюджетного планирования: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1.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Высокий;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2.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Средний;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000000"/>
          <w:sz w:val="1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3.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Низкий.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/>
          <w:sz w:val="28"/>
          <w:szCs w:val="20"/>
          <w:rtl w:val="off"/>
          <w:lang w:val="ru-RU" w:eastAsia="ru-RU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000000"/>
          <w:sz w:val="1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sz w:val="28"/>
          <w:szCs w:val="20"/>
          <w:rtl w:val="off"/>
          <w:lang w:val="ru-RU" w:eastAsia="ru-RU"/>
        </w:rPr>
        <w:t>Классификация регионов по инвестиционной активности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 w:eastAsia="ru-RU"/>
        </w:rPr>
        <w:t>:</w:t>
      </w:r>
    </w:p>
    <w:p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sz w:val="28"/>
          <w:szCs w:val="20"/>
          <w:rtl w:val="off"/>
          <w:lang w:val="ru-RU" w:eastAsia="ru-RU"/>
        </w:rPr>
      </w:pPr>
      <w:r>
        <w:rPr>
          <w:rFonts w:ascii="Times New Roman" w:cs="Times New Roman" w:hAnsi="Times New Roman"/>
          <w:b w:val="off"/>
          <w:bCs w:val="off"/>
          <w:sz w:val="28"/>
          <w:szCs w:val="20"/>
          <w:rtl w:val="off"/>
          <w:lang w:val="ru-RU" w:eastAsia="ru-RU"/>
        </w:rPr>
        <w:t xml:space="preserve">1. Регионы с низкой инвестиционной активностью </w:t>
      </w:r>
    </w:p>
    <w:p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sz w:val="28"/>
          <w:szCs w:val="20"/>
          <w:rtl w:val="off"/>
          <w:lang w:val="ru-RU" w:eastAsia="ru-RU"/>
        </w:rPr>
      </w:pPr>
      <w:r>
        <w:rPr>
          <w:rFonts w:ascii="Times New Roman" w:cs="Times New Roman" w:hAnsi="Times New Roman"/>
          <w:sz w:val="28"/>
          <w:szCs w:val="20"/>
          <w:rtl w:val="off"/>
          <w:lang w:val="ru-RU" w:eastAsia="ru-RU"/>
        </w:rPr>
        <w:t xml:space="preserve">2. Регионы с высокой инвестиционной активностью </w:t>
      </w:r>
    </w:p>
    <w:p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sz w:val="28"/>
          <w:szCs w:val="20"/>
          <w:rtl w:val="off"/>
          <w:lang w:val="ru-RU" w:eastAsia="ru-RU"/>
        </w:rPr>
      </w:pPr>
      <w:r>
        <w:rPr>
          <w:rFonts w:ascii="Times New Roman" w:cs="Times New Roman" w:hAnsi="Times New Roman"/>
          <w:sz w:val="28"/>
          <w:szCs w:val="20"/>
          <w:rtl w:val="off"/>
          <w:lang w:val="ru-RU" w:eastAsia="ru-RU"/>
        </w:rPr>
        <w:t xml:space="preserve">3. Регионы с высокой инвестиционной активностью, преобладают внутренние инвестиции </w:t>
      </w:r>
    </w:p>
    <w:p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sz w:val="28"/>
          <w:szCs w:val="20"/>
          <w:rtl w:val="off"/>
          <w:lang w:val="ru-RU" w:eastAsia="ru-RU"/>
        </w:rPr>
      </w:pPr>
      <w:r>
        <w:rPr>
          <w:rFonts w:ascii="Times New Roman" w:cs="Times New Roman" w:hAnsi="Times New Roman"/>
          <w:sz w:val="28"/>
          <w:szCs w:val="20"/>
          <w:rtl w:val="off"/>
          <w:lang w:val="ru-RU" w:eastAsia="ru-RU"/>
        </w:rPr>
        <w:t xml:space="preserve">4. Регионы с высокой инвестиционной активностью, преобладают иностранные инвестиции, внутренние инвестиции малы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Segoe UI"/>
          <w:color w:val="000000"/>
          <w:sz w:val="18"/>
          <w:rtl w:val="off"/>
          <w:lang w:val="en-US"/>
        </w:rPr>
      </w:pPr>
      <w:r>
        <w:rPr>
          <w:rFonts w:ascii="Times New Roman" w:cs="Times New Roman" w:hAnsi="Times New Roman"/>
          <w:sz w:val="28"/>
          <w:szCs w:val="20"/>
          <w:rtl w:val="off"/>
          <w:lang w:val="ru-RU" w:eastAsia="ru-RU"/>
        </w:rPr>
        <w:t>5. Регионы с низкой инвестиционной активностью, но объем иностранных инвестиций высок.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sectPr>
      <w:footnotePr/>
      <w:type w:val="nextPage"/>
      <w:pgSz w:w="11906" w:h="16838" w:orient="portrait"/>
      <w:pgMar w:top="1440" w:right="1008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  <w:font w:name="verdana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</cp:coreProperties>
</file>